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58" w:rsidRPr="00761A58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/>
          <w:bCs/>
          <w:kern w:val="2"/>
          <w:sz w:val="36"/>
          <w:szCs w:val="28"/>
        </w:rPr>
      </w:pPr>
      <w:bookmarkStart w:id="0" w:name="_GoBack"/>
      <w:r w:rsidRPr="00761A58">
        <w:rPr>
          <w:rStyle w:val="NormalCharacter"/>
          <w:rFonts w:ascii="宋体" w:eastAsia="宋体" w:hAnsi="宋体" w:cs="宋体" w:hint="eastAsia"/>
          <w:b/>
          <w:kern w:val="2"/>
          <w:sz w:val="36"/>
          <w:szCs w:val="28"/>
        </w:rPr>
        <w:t>附件一：</w:t>
      </w:r>
      <w:r w:rsidRPr="00761A58">
        <w:rPr>
          <w:rStyle w:val="NormalCharacter"/>
          <w:rFonts w:ascii="宋体" w:eastAsia="宋体" w:hAnsi="宋体" w:cs="宋体"/>
          <w:b/>
          <w:kern w:val="2"/>
          <w:sz w:val="36"/>
          <w:szCs w:val="28"/>
        </w:rPr>
        <w:t>论文投稿格式规范</w:t>
      </w:r>
      <w:bookmarkEnd w:id="0"/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1、论文</w:t>
      </w:r>
      <w:proofErr w:type="gram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需包括</w:t>
      </w:r>
      <w:proofErr w:type="gram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篇名、姓名、工作单位、摘要、关键词五项；中文摘要一般控制在300-500 字以内；关键词3-6个；以上内容请同时提供英文翻译。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2、论文或者经典案例正文篇幅原则上以8000-10000字为宜（图文结合），特别优秀的稿件可不受限制。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3、题目居中，黑体、三号字、加粗；中文摘要与关键词，楷体、五号字、多倍行距1.25值；小节</w:t>
      </w:r>
      <w:proofErr w:type="gram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标题居</w:t>
      </w:r>
      <w:proofErr w:type="gram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左，黑体、四号字、加粗，2倍行距；正文部分，宋体、五号字、多倍行距1.25值；参考文献，宋体（中文）或新罗马字体（英文）、小五号字、单</w:t>
      </w:r>
      <w:proofErr w:type="gram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倍</w:t>
      </w:r>
      <w:proofErr w:type="gram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行距。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4、稿件中的插图、表格等均须规范名称、出处。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5、论文的引用文献采用注释与参考文献并行的尾注格式。凡出现引用文献处均应以注释格式明确标注具体出处、页码。参考文献前用[1][2]等标注表示次序，并以此类推。</w:t>
      </w:r>
    </w:p>
    <w:p w:rsidR="00761A58" w:rsidRPr="00BB0109" w:rsidRDefault="00761A58" w:rsidP="00761A58">
      <w:pPr>
        <w:pStyle w:val="a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</w:p>
    <w:p w:rsidR="00761A58" w:rsidRPr="00761A58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/>
          <w:bCs/>
          <w:kern w:val="2"/>
          <w:sz w:val="32"/>
          <w:szCs w:val="28"/>
        </w:rPr>
      </w:pPr>
      <w:r w:rsidRPr="00761A58">
        <w:rPr>
          <w:rStyle w:val="NormalCharacter"/>
          <w:rFonts w:ascii="宋体" w:eastAsia="宋体" w:hAnsi="宋体" w:cs="宋体"/>
          <w:b/>
          <w:kern w:val="2"/>
          <w:sz w:val="32"/>
          <w:szCs w:val="28"/>
        </w:rPr>
        <w:t>注释及参考文献格式要求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1. 专著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[序号]作者或主编者：《文献名》[M]，出版地：出版单位，出版年，起止页码。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如：[1]李当岐：《西洋服装史》[M]，北京：高等教育出版社，1995，第38页。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2. 译著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lastRenderedPageBreak/>
        <w:t>[序号][国别]原著者：《文献名》[M]，译者名，出版地：出版单位，出版年，起止页码。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如：[1][美]斯蒂芬·贝利、菲利普·加纳：《20世纪风格与设计》[M]，罗筠筠译，成都：四川人民出版社，2000，第67页。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3. 期刊文章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[序号]作者：《文献名》[J]，《刊名》，年，（卷），期，起止页码。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如：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[1]艺中：《现代包装设计的文化观》[J]，《包装世界》，2002年第5期，第45页。（无卷数）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[2]李晓东、张庆红、叶瑾琳：《气候学研究的若干理论问题》[J]，《北京大学学报（自然科学版）》，1999年第35卷第1期，第101-106页。（有卷数）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4. 报纸文章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[序号]作者：《文献名》[N]，《报纸名》，出版日期，版次。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如：[1]李眉：《李劼人轶事》[N]，《四川工人日报》，1986年8月22日，第2版。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5. 学位论文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[序号]作者：《文献名》[D]，毕业地：毕业院校，毕业年，起止页码。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如：[1]刘尊志：《徐州汉墓与汉代社会研究》[D]，郑州：郑州大学，2007，第89页。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6. 会议论文集析出文献：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lastRenderedPageBreak/>
        <w:t>[序号]作者：《文献名》[C]，责任编者：《论文集题名》，出版地：出版单位，出版年，起止页码。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如：[1]杭间：《中国设计与包豪斯——误读与自觉误读》[C]，许江：《包豪斯与东方——中国制造与创新设计国际学术会议论文集》，杭州：中国美术学院出版社，2011，第62页。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7. 文集析出文献：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[序号]作者：《文献名》[M]，责任编者（作者本人可以不写）：《文集题名》，出版地：出版单位，出版年，起止页码。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如：[1]</w:t>
      </w:r>
      <w:proofErr w:type="gram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庞薰</w:t>
      </w:r>
      <w:proofErr w:type="gram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琹：《我热爱工艺美术教育》[M]，《庞薰琹工艺美术文集》，北京：轻工业出版社，1986，第127页。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8. 外文参考文献：参考ISO-690，ISO-690-2国际标准，具体参见以下例子。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1.1期刊：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[1]</w:t>
      </w:r>
      <w:proofErr w:type="gram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 xml:space="preserve">Dobbs J M, Wong J M. Modification of Supercritical Fluid </w:t>
      </w:r>
      <w:proofErr w:type="spell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Phasebehavior</w:t>
      </w:r>
      <w:proofErr w:type="spell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 xml:space="preserve"> Using </w:t>
      </w:r>
      <w:proofErr w:type="spell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Polor</w:t>
      </w:r>
      <w:proofErr w:type="spell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 xml:space="preserve"> </w:t>
      </w:r>
      <w:proofErr w:type="spell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Coselvent</w:t>
      </w:r>
      <w:proofErr w:type="spell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 xml:space="preserve"> [J].</w:t>
      </w:r>
      <w:proofErr w:type="gram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 xml:space="preserve"> </w:t>
      </w:r>
      <w:proofErr w:type="spell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Ind</w:t>
      </w:r>
      <w:proofErr w:type="spell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 xml:space="preserve"> </w:t>
      </w:r>
      <w:proofErr w:type="spell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Eng</w:t>
      </w:r>
      <w:proofErr w:type="spell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 xml:space="preserve"> </w:t>
      </w:r>
      <w:proofErr w:type="spell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Chem</w:t>
      </w:r>
      <w:proofErr w:type="spell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 xml:space="preserve"> Res, 1987, 26: 56.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[2]</w:t>
      </w:r>
      <w:proofErr w:type="spell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Mesquita</w:t>
      </w:r>
      <w:proofErr w:type="spell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 xml:space="preserve"> A C, Mori M N, Vieira J M, </w:t>
      </w:r>
      <w:proofErr w:type="spell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etal</w:t>
      </w:r>
      <w:proofErr w:type="spell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 xml:space="preserve">. </w:t>
      </w:r>
      <w:proofErr w:type="gram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Vinyl Acetate Polymerization by Ionizing Radiation [J].</w:t>
      </w:r>
      <w:proofErr w:type="gram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 xml:space="preserve"> Radiation Physics and Chemistry, 2002, 3: 465.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1.2专著：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[1]</w:t>
      </w:r>
      <w:proofErr w:type="spellStart"/>
      <w:proofErr w:type="gram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Kortun</w:t>
      </w:r>
      <w:proofErr w:type="spell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 xml:space="preserve"> G. Reflectance Spectroscopy [M].</w:t>
      </w:r>
      <w:proofErr w:type="gram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 xml:space="preserve"> New York: Spring-</w:t>
      </w:r>
      <w:proofErr w:type="spell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Verlag</w:t>
      </w:r>
      <w:proofErr w:type="spell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, 1969.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lastRenderedPageBreak/>
        <w:t xml:space="preserve">[2]Rees, Helen. Echoes of History: </w:t>
      </w:r>
      <w:proofErr w:type="spell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Naxi</w:t>
      </w:r>
      <w:proofErr w:type="spell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 xml:space="preserve"> Music in Modern </w:t>
      </w:r>
      <w:proofErr w:type="gram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China[</w:t>
      </w:r>
      <w:proofErr w:type="gram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M]. New York: Oxford University Press, 2000: 67.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1.3论文集：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[1]</w:t>
      </w:r>
      <w:proofErr w:type="spell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Eiben</w:t>
      </w:r>
      <w:proofErr w:type="spell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 xml:space="preserve"> A E, </w:t>
      </w:r>
      <w:proofErr w:type="spell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vander</w:t>
      </w:r>
      <w:proofErr w:type="spell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 xml:space="preserve"> </w:t>
      </w:r>
      <w:proofErr w:type="spell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Hauw</w:t>
      </w:r>
      <w:proofErr w:type="spell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 xml:space="preserve"> J K. Solving 3-SAT with Adaptive Genetic Algorithms [C]. </w:t>
      </w:r>
      <w:proofErr w:type="spellStart"/>
      <w:proofErr w:type="gram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Proc</w:t>
      </w:r>
      <w:proofErr w:type="spell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 xml:space="preserve"> 4th IEEE </w:t>
      </w:r>
      <w:proofErr w:type="spell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Conf</w:t>
      </w:r>
      <w:proofErr w:type="spell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 xml:space="preserve"> Evolutionary Computation.</w:t>
      </w:r>
      <w:proofErr w:type="gram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 xml:space="preserve"> Piscataway: IEEE Press, 1997: 81-86.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1.4学位论文：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[1]</w:t>
      </w:r>
      <w:proofErr w:type="spell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Chrisstoffels</w:t>
      </w:r>
      <w:proofErr w:type="spell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 xml:space="preserve"> L A J. Carrier-facilitated Transport as a Mechanistic Tool in </w:t>
      </w:r>
      <w:proofErr w:type="spell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Supramolecular</w:t>
      </w:r>
      <w:proofErr w:type="spell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 xml:space="preserve"> Chemistry [D]. The Netherland: </w:t>
      </w:r>
      <w:proofErr w:type="spellStart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Twente</w:t>
      </w:r>
      <w:proofErr w:type="spellEnd"/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 xml:space="preserve"> University, 1988.</w:t>
      </w:r>
    </w:p>
    <w:p w:rsidR="00761A58" w:rsidRPr="00BB0109" w:rsidRDefault="00761A58" w:rsidP="00761A58">
      <w:pPr>
        <w:adjustRightInd/>
        <w:snapToGrid/>
        <w:spacing w:after="0"/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</w:pPr>
      <w:r w:rsidRPr="00BB0109">
        <w:rPr>
          <w:rStyle w:val="NormalCharacter"/>
          <w:rFonts w:ascii="宋体" w:eastAsia="宋体" w:hAnsi="宋体" w:cs="宋体"/>
          <w:bCs/>
          <w:kern w:val="2"/>
          <w:sz w:val="28"/>
          <w:szCs w:val="28"/>
        </w:rPr>
        <w:t>其他参考文献类型参考：R-报告，S-标准，P-专刊，G-资料汇编。对于其他未说明的出版文献类型，采用单字母“Z”标识。电子文献需标识文献类型与载体类型，如[M-CD]光盘图书，[J/0L]- 网上期刊，[DB/0L]-网上数据库，[EB/0L]-网上电子公告。</w:t>
      </w:r>
    </w:p>
    <w:p w:rsidR="00F135FB" w:rsidRPr="00761A58" w:rsidRDefault="00F135FB"/>
    <w:sectPr w:rsidR="00F135FB" w:rsidRPr="00761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58"/>
    <w:rsid w:val="00761A58"/>
    <w:rsid w:val="007A3582"/>
    <w:rsid w:val="0093400C"/>
    <w:rsid w:val="00A43A43"/>
    <w:rsid w:val="00F10FC4"/>
    <w:rsid w:val="00F1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61A5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761A58"/>
    <w:pPr>
      <w:spacing w:after="120"/>
    </w:pPr>
  </w:style>
  <w:style w:type="character" w:customStyle="1" w:styleId="Char">
    <w:name w:val="正文文本 Char"/>
    <w:basedOn w:val="a1"/>
    <w:link w:val="a0"/>
    <w:rsid w:val="00761A58"/>
    <w:rPr>
      <w:rFonts w:ascii="Tahoma" w:eastAsia="微软雅黑" w:hAnsi="Tahoma"/>
      <w:kern w:val="0"/>
      <w:sz w:val="22"/>
    </w:rPr>
  </w:style>
  <w:style w:type="character" w:customStyle="1" w:styleId="NormalCharacter">
    <w:name w:val="NormalCharacter"/>
    <w:semiHidden/>
    <w:qFormat/>
    <w:rsid w:val="00761A58"/>
    <w:rPr>
      <w:rFonts w:ascii="Tahoma" w:eastAsia="微软雅黑" w:hAnsi="Tahoma" w:cstheme="minorBidi"/>
      <w:sz w:val="22"/>
      <w:szCs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61A5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761A58"/>
    <w:pPr>
      <w:spacing w:after="120"/>
    </w:pPr>
  </w:style>
  <w:style w:type="character" w:customStyle="1" w:styleId="Char">
    <w:name w:val="正文文本 Char"/>
    <w:basedOn w:val="a1"/>
    <w:link w:val="a0"/>
    <w:rsid w:val="00761A58"/>
    <w:rPr>
      <w:rFonts w:ascii="Tahoma" w:eastAsia="微软雅黑" w:hAnsi="Tahoma"/>
      <w:kern w:val="0"/>
      <w:sz w:val="22"/>
    </w:rPr>
  </w:style>
  <w:style w:type="character" w:customStyle="1" w:styleId="NormalCharacter">
    <w:name w:val="NormalCharacter"/>
    <w:semiHidden/>
    <w:qFormat/>
    <w:rsid w:val="00761A58"/>
    <w:rPr>
      <w:rFonts w:ascii="Tahoma" w:eastAsia="微软雅黑" w:hAnsi="Tahoma" w:cstheme="minorBidi"/>
      <w:sz w:val="22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社科处</dc:creator>
  <cp:lastModifiedBy>社科处</cp:lastModifiedBy>
  <cp:revision>1</cp:revision>
  <dcterms:created xsi:type="dcterms:W3CDTF">2022-10-07T01:16:00Z</dcterms:created>
  <dcterms:modified xsi:type="dcterms:W3CDTF">2022-10-07T01:17:00Z</dcterms:modified>
</cp:coreProperties>
</file>